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EA57FD9" w:rsidR="00F92268" w:rsidRPr="00FF66BF" w:rsidRDefault="00B84336" w:rsidP="00F246C7">
            <w:pPr>
              <w:pStyle w:val="RefTableHeader"/>
            </w:pPr>
            <w:r w:rsidRPr="00B84336">
              <w:t>3095-A</w:t>
            </w:r>
          </w:p>
        </w:tc>
      </w:tr>
    </w:tbl>
    <w:p w14:paraId="74FBA5B4" w14:textId="77777777" w:rsidR="00051356" w:rsidRDefault="00051356" w:rsidP="0029030C">
      <w:pPr>
        <w:pStyle w:val="BodyText"/>
        <w:spacing w:after="0"/>
        <w:rPr>
          <w:b/>
          <w:bCs/>
          <w:sz w:val="16"/>
          <w:szCs w:val="16"/>
        </w:rPr>
        <w:sectPr w:rsidR="00051356" w:rsidSect="00C16AF8">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6358945" w:rsidR="004B15BB" w:rsidRPr="00BD1CC1" w:rsidRDefault="00B84336" w:rsidP="007E5C16">
      <w:pPr>
        <w:pStyle w:val="Heading1"/>
      </w:pPr>
      <w:r w:rsidRPr="00B84336">
        <w:t>Specialty Guideline Management</w:t>
      </w:r>
      <w:r>
        <w:br/>
      </w:r>
      <w:r w:rsidRPr="00B84336">
        <w:t>Polivy</w:t>
      </w:r>
    </w:p>
    <w:p w14:paraId="78861C92" w14:textId="0CFBE1F1" w:rsidR="00203468" w:rsidRPr="00BD1CC1" w:rsidRDefault="00C64534" w:rsidP="008E0F0D">
      <w:pPr>
        <w:pStyle w:val="Heading2"/>
      </w:pPr>
      <w:r w:rsidRPr="00BD1CC1">
        <w:t xml:space="preserve">Products Referenced by this </w:t>
      </w:r>
      <w:r w:rsidR="00501602" w:rsidRPr="00BD1CC1">
        <w:t>Document</w:t>
      </w:r>
    </w:p>
    <w:p w14:paraId="5455152B" w14:textId="343EC29B"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7A78D1">
        <w:t>Over</w:t>
      </w:r>
      <w:r w:rsidR="00E562BD">
        <w:t>-</w:t>
      </w:r>
      <w:r w:rsidR="007A78D1">
        <w:t>the</w:t>
      </w:r>
      <w:r w:rsidR="00E562BD">
        <w:t>-</w:t>
      </w:r>
      <w:r w:rsidR="007A78D1">
        <w:t>counter (</w:t>
      </w:r>
      <w:r w:rsidRPr="00BD1CC1">
        <w:t>OTC</w:t>
      </w:r>
      <w:r w:rsidR="007A78D1">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7B41AF9" w:rsidR="00585FFF" w:rsidRPr="00BD1CC1" w:rsidRDefault="00B84336" w:rsidP="00E82ABA">
            <w:pPr>
              <w:pStyle w:val="TableDataUnpadded"/>
            </w:pPr>
            <w:r w:rsidRPr="00B84336">
              <w:t>Polivy</w:t>
            </w:r>
          </w:p>
        </w:tc>
        <w:tc>
          <w:tcPr>
            <w:tcW w:w="5595" w:type="dxa"/>
          </w:tcPr>
          <w:p w14:paraId="7E26A004" w14:textId="1D676772" w:rsidR="00585FFF" w:rsidRPr="00BD1CC1" w:rsidRDefault="00B84336" w:rsidP="00E82ABA">
            <w:pPr>
              <w:pStyle w:val="TableDataUnpadded"/>
            </w:pPr>
            <w:r w:rsidRPr="00B84336">
              <w:t>polatuzumab vedotin-piiq</w:t>
            </w:r>
          </w:p>
        </w:tc>
      </w:tr>
    </w:tbl>
    <w:bookmarkEnd w:id="0"/>
    <w:p w14:paraId="14CE6108" w14:textId="4151BE3B" w:rsidR="00FC1AAD" w:rsidRDefault="00ED052F" w:rsidP="00AA2A94">
      <w:pPr>
        <w:pStyle w:val="Heading2"/>
        <w:tabs>
          <w:tab w:val="left" w:pos="9540"/>
        </w:tabs>
      </w:pPr>
      <w:r>
        <w:t>Indications</w:t>
      </w:r>
    </w:p>
    <w:p w14:paraId="0D8217D0" w14:textId="24CDE2EA" w:rsidR="00B84336" w:rsidRPr="00B84336" w:rsidRDefault="00B84336" w:rsidP="0096619E">
      <w:pPr>
        <w:pStyle w:val="BodyText"/>
      </w:pPr>
      <w:r w:rsidRPr="00B84336">
        <w:t>The indications below including FDA-approved indications and compendial uses are considered a covered benefit provided that all the approval criteria are met and the member has no exclusions to the prescribed therapy.</w:t>
      </w:r>
    </w:p>
    <w:p w14:paraId="134B5687" w14:textId="1AD5BD84" w:rsidR="00ED052F" w:rsidRPr="00B84336" w:rsidRDefault="00ED052F" w:rsidP="00ED052F">
      <w:pPr>
        <w:pStyle w:val="Heading3"/>
        <w:keepNext w:val="0"/>
      </w:pPr>
      <w:r w:rsidRPr="00BD1CC1">
        <w:t>FDA-approved Indications</w:t>
      </w:r>
      <w:r w:rsidR="00B84336" w:rsidRPr="00B84336">
        <w:rPr>
          <w:vertAlign w:val="superscript"/>
        </w:rPr>
        <w:t>1</w:t>
      </w:r>
    </w:p>
    <w:p w14:paraId="1E316260" w14:textId="0490F0ED" w:rsidR="00B84336" w:rsidRPr="00B84336" w:rsidRDefault="00B84336" w:rsidP="00B84336">
      <w:pPr>
        <w:pStyle w:val="ListParagraph"/>
        <w:numPr>
          <w:ilvl w:val="0"/>
          <w:numId w:val="28"/>
        </w:numPr>
        <w:contextualSpacing w:val="0"/>
      </w:pPr>
      <w:r w:rsidRPr="00B84336">
        <w:t>Polivy in combination with bendamustine and a rituximab product is indicated for the treatment of adult patients with relapsed or refractory diffuse large B-cell lymphoma (DLBCL), not otherwise specified, after at least two prior therapies.</w:t>
      </w:r>
    </w:p>
    <w:p w14:paraId="6C3AABF4" w14:textId="2BFA2EA3" w:rsidR="00B84336" w:rsidRPr="00B84336" w:rsidRDefault="00B84336" w:rsidP="00B84336">
      <w:pPr>
        <w:pStyle w:val="ListParagraph"/>
        <w:numPr>
          <w:ilvl w:val="0"/>
          <w:numId w:val="28"/>
        </w:numPr>
        <w:contextualSpacing w:val="0"/>
      </w:pPr>
      <w:r w:rsidRPr="00B84336">
        <w:t>Polivy in combination with a rituximab product, cyclophosphamide, doxorubicin, and prednisone (R-CHP) for the treatment of adult patients who have previously untreated diffuse large B-cell lymphoma (DLBCL), not otherwise specified (NOS) or high-grade B-cell lymphoma (HGBL) and who have an International Prognostic Index score of 2 or greater.</w:t>
      </w:r>
    </w:p>
    <w:p w14:paraId="0B5EC236" w14:textId="43E4D980" w:rsidR="0044763A" w:rsidRPr="00B84336" w:rsidRDefault="009F2EF1" w:rsidP="0096619E">
      <w:pPr>
        <w:pStyle w:val="Heading3"/>
        <w:keepNext w:val="0"/>
        <w:keepLines w:val="0"/>
        <w:widowControl w:val="0"/>
      </w:pPr>
      <w:r>
        <w:t>Compendial Uses</w:t>
      </w:r>
      <w:r w:rsidR="00B84336" w:rsidRPr="00B84336">
        <w:rPr>
          <w:vertAlign w:val="superscript"/>
        </w:rPr>
        <w:t>1,2</w:t>
      </w:r>
    </w:p>
    <w:p w14:paraId="4815F11E" w14:textId="77777777" w:rsidR="00B84336" w:rsidRDefault="00B84336" w:rsidP="0096619E">
      <w:pPr>
        <w:pStyle w:val="Heading4"/>
        <w:keepNext w:val="0"/>
        <w:keepLines w:val="0"/>
        <w:widowControl w:val="0"/>
      </w:pPr>
      <w:r>
        <w:t>B-Cell Lymphomas</w:t>
      </w:r>
    </w:p>
    <w:p w14:paraId="0CCFD988" w14:textId="175BCC6E" w:rsidR="00B84336" w:rsidRPr="00B84336" w:rsidRDefault="00B84336" w:rsidP="0096619E">
      <w:pPr>
        <w:pStyle w:val="ListParagraph"/>
        <w:widowControl w:val="0"/>
        <w:numPr>
          <w:ilvl w:val="0"/>
          <w:numId w:val="30"/>
        </w:numPr>
        <w:contextualSpacing w:val="0"/>
      </w:pPr>
      <w:r w:rsidRPr="00B84336">
        <w:t>High-grade B-cell lymphomas (HGBLs)</w:t>
      </w:r>
    </w:p>
    <w:p w14:paraId="1CD8E16B" w14:textId="66108262" w:rsidR="00B84336" w:rsidRPr="00B84336" w:rsidRDefault="00B84336" w:rsidP="0096619E">
      <w:pPr>
        <w:pStyle w:val="ListParagraph"/>
        <w:widowControl w:val="0"/>
        <w:numPr>
          <w:ilvl w:val="0"/>
          <w:numId w:val="30"/>
        </w:numPr>
        <w:contextualSpacing w:val="0"/>
      </w:pPr>
      <w:r w:rsidRPr="00B84336">
        <w:t>Monomorphic post-transplant lymphoproliferative disorders (B-cell type)</w:t>
      </w:r>
    </w:p>
    <w:p w14:paraId="474C8363" w14:textId="4E1700D1" w:rsidR="00B84336" w:rsidRPr="00B84336" w:rsidRDefault="00B84336" w:rsidP="0096619E">
      <w:pPr>
        <w:pStyle w:val="ListParagraph"/>
        <w:widowControl w:val="0"/>
        <w:numPr>
          <w:ilvl w:val="0"/>
          <w:numId w:val="30"/>
        </w:numPr>
        <w:contextualSpacing w:val="0"/>
      </w:pPr>
      <w:r w:rsidRPr="00B84336">
        <w:lastRenderedPageBreak/>
        <w:t>Human Immunodeficiency Virus (HIV) Related B-Cell Lymphomas (HIV-related diffuse large B-cell lymphoma, primary effusion lymphoma, HIV-related plasmablastic lymphoma, and human herpesvirus-8 (HHV8)-positive diffuse large B-cell lymphoma)</w:t>
      </w:r>
    </w:p>
    <w:p w14:paraId="5D594BAC" w14:textId="1E2C6DA6" w:rsidR="00B84336" w:rsidRPr="00B84336" w:rsidRDefault="00B84336" w:rsidP="0096619E">
      <w:pPr>
        <w:pStyle w:val="ListParagraph"/>
        <w:widowControl w:val="0"/>
        <w:numPr>
          <w:ilvl w:val="0"/>
          <w:numId w:val="30"/>
        </w:numPr>
        <w:contextualSpacing w:val="0"/>
      </w:pPr>
      <w:r w:rsidRPr="00B84336">
        <w:t>Histologic transformation of indolent lymphomas to diffuse large B-cell lymphoma</w:t>
      </w:r>
    </w:p>
    <w:p w14:paraId="45B8F61A" w14:textId="6E3A8B4F" w:rsidR="00B84336" w:rsidRPr="00B84336" w:rsidRDefault="00B84336" w:rsidP="0096619E">
      <w:pPr>
        <w:pStyle w:val="ListParagraph"/>
        <w:widowControl w:val="0"/>
        <w:numPr>
          <w:ilvl w:val="0"/>
          <w:numId w:val="30"/>
        </w:numPr>
        <w:contextualSpacing w:val="0"/>
      </w:pPr>
      <w:r w:rsidRPr="00B84336">
        <w:t>Histological transformation of indolent lymphomas to high-grade B-cell lymphoma with MYC and BCL6 without BCL2 rearrangements</w:t>
      </w:r>
    </w:p>
    <w:p w14:paraId="32A0637A" w14:textId="6B7FE97E" w:rsidR="00B84336" w:rsidRDefault="00B84336" w:rsidP="0096619E">
      <w:pPr>
        <w:pStyle w:val="ListParagraph"/>
        <w:widowControl w:val="0"/>
        <w:numPr>
          <w:ilvl w:val="0"/>
          <w:numId w:val="30"/>
        </w:numPr>
        <w:contextualSpacing w:val="0"/>
      </w:pPr>
      <w:r w:rsidRPr="00B84336">
        <w:t>Diffuse large B-cell lymphoma (DLBCL)</w:t>
      </w:r>
    </w:p>
    <w:p w14:paraId="19664FDC" w14:textId="52A64823" w:rsidR="00B84336" w:rsidRPr="00B84336" w:rsidRDefault="00B84336" w:rsidP="0096619E">
      <w:pPr>
        <w:pStyle w:val="BodyText"/>
      </w:pPr>
      <w:r w:rsidRPr="00B84336">
        <w:t>All other indications are considered experimental/investigational and not medically necessary.</w:t>
      </w:r>
    </w:p>
    <w:p w14:paraId="50A38FBA" w14:textId="490FED60" w:rsidR="00FE0C63" w:rsidRDefault="00685107" w:rsidP="00E050E1">
      <w:pPr>
        <w:pStyle w:val="Heading2"/>
      </w:pPr>
      <w:r>
        <w:t>Coverage Criteria</w:t>
      </w:r>
    </w:p>
    <w:p w14:paraId="5696AE5A" w14:textId="77777777" w:rsidR="00B84336" w:rsidRDefault="00B84336" w:rsidP="00B84336">
      <w:pPr>
        <w:pStyle w:val="Heading3"/>
      </w:pPr>
      <w:r>
        <w:t>B-Cell Lymphomas</w:t>
      </w:r>
      <w:r w:rsidRPr="00B84336">
        <w:rPr>
          <w:vertAlign w:val="superscript"/>
        </w:rPr>
        <w:t>1,2</w:t>
      </w:r>
    </w:p>
    <w:p w14:paraId="6DABA45C" w14:textId="77777777" w:rsidR="00B84336" w:rsidRDefault="00B84336" w:rsidP="0096619E">
      <w:pPr>
        <w:pStyle w:val="BodyText"/>
      </w:pPr>
      <w:r>
        <w:t>Authorization of 6 months (up to 6 cycles) may be granted for treatment of B-cell lymphomas with any of the following subtypes:</w:t>
      </w:r>
    </w:p>
    <w:p w14:paraId="6CCD4C50" w14:textId="080D04D8" w:rsidR="00B84336" w:rsidRPr="00B84336" w:rsidRDefault="00B84336" w:rsidP="00B84336">
      <w:pPr>
        <w:pStyle w:val="ListParagraph"/>
        <w:numPr>
          <w:ilvl w:val="0"/>
          <w:numId w:val="32"/>
        </w:numPr>
        <w:contextualSpacing w:val="0"/>
      </w:pPr>
      <w:r w:rsidRPr="00B84336">
        <w:t>Diffuse Large B-cell Lymphoma (DLBCL) when any of the following criteria are met:</w:t>
      </w:r>
    </w:p>
    <w:p w14:paraId="1AF592AC" w14:textId="05709120" w:rsidR="00B84336" w:rsidRPr="00B84336" w:rsidRDefault="00B84336" w:rsidP="00B84336">
      <w:pPr>
        <w:pStyle w:val="ListParagraph"/>
        <w:numPr>
          <w:ilvl w:val="1"/>
          <w:numId w:val="34"/>
        </w:numPr>
        <w:contextualSpacing w:val="0"/>
      </w:pPr>
      <w:r w:rsidRPr="00B84336">
        <w:t>The requested drug is used as subsequent treatment as a single agent, or in combination with bendamustine  and/or rituximab for relapsed or refractory disease when the member is not a candidate for transplant, or the requested medication will be used as a bridging option until CAR T-cell product is available.</w:t>
      </w:r>
    </w:p>
    <w:p w14:paraId="5A08A2D4" w14:textId="4A7C38C3" w:rsidR="00B84336" w:rsidRPr="00B84336" w:rsidRDefault="00B84336" w:rsidP="00B84336">
      <w:pPr>
        <w:pStyle w:val="ListParagraph"/>
        <w:numPr>
          <w:ilvl w:val="1"/>
          <w:numId w:val="34"/>
        </w:numPr>
        <w:contextualSpacing w:val="0"/>
      </w:pPr>
      <w:r w:rsidRPr="00B84336">
        <w:t>The requested drug will be used as first line therapy in combination with a rituximab product, cyclophosphamide, doxorubicin, and prednisone (R-CHP) in members who have an International Prognostic Index score greater than 1.</w:t>
      </w:r>
    </w:p>
    <w:p w14:paraId="185B90C2" w14:textId="3F841F2E" w:rsidR="00B84336" w:rsidRPr="00B84336" w:rsidRDefault="00B84336" w:rsidP="00B84336">
      <w:pPr>
        <w:pStyle w:val="ListParagraph"/>
        <w:numPr>
          <w:ilvl w:val="0"/>
          <w:numId w:val="32"/>
        </w:numPr>
        <w:contextualSpacing w:val="0"/>
      </w:pPr>
      <w:r w:rsidRPr="00B84336">
        <w:t>High-grade B-cell lymphomas (HGBLs) (also referred to as “double-hit” or “triple-hit” lymphomas) when any of the following criteria are met:</w:t>
      </w:r>
    </w:p>
    <w:p w14:paraId="0BCD31FB" w14:textId="1A9A7D44" w:rsidR="00B84336" w:rsidRPr="00B84336" w:rsidRDefault="00B84336" w:rsidP="00B84336">
      <w:pPr>
        <w:pStyle w:val="ListParagraph"/>
        <w:numPr>
          <w:ilvl w:val="1"/>
          <w:numId w:val="35"/>
        </w:numPr>
        <w:contextualSpacing w:val="0"/>
      </w:pPr>
      <w:r w:rsidRPr="00B84336">
        <w:t>The requested drug is used as subsequent treatment as a single agent, or in combination with bendamustine and/or rituximab, and member is not a candidate for transplant or the requested medication will be used as a bridging option until CAR T-cell product is available.</w:t>
      </w:r>
    </w:p>
    <w:p w14:paraId="5A0312F1" w14:textId="7EB05135" w:rsidR="00B84336" w:rsidRPr="00B84336" w:rsidRDefault="00B84336" w:rsidP="00B84336">
      <w:pPr>
        <w:pStyle w:val="ListParagraph"/>
        <w:numPr>
          <w:ilvl w:val="1"/>
          <w:numId w:val="35"/>
        </w:numPr>
        <w:contextualSpacing w:val="0"/>
      </w:pPr>
      <w:r w:rsidRPr="00B84336">
        <w:t>The requested drug will be used as first line therapy in combination with a rituximab product, cyclophosphamide, doxorubicin, and prednisone (R-CHP) and member has an International Prognostic Index score greater than 1 and has MYC and BCL6 without BCL2 rearrangements.</w:t>
      </w:r>
    </w:p>
    <w:p w14:paraId="42FAA08F" w14:textId="0D270E11" w:rsidR="00B84336" w:rsidRPr="00B84336" w:rsidRDefault="00B84336" w:rsidP="00B84336">
      <w:pPr>
        <w:pStyle w:val="ListParagraph"/>
        <w:numPr>
          <w:ilvl w:val="0"/>
          <w:numId w:val="32"/>
        </w:numPr>
        <w:contextualSpacing w:val="0"/>
      </w:pPr>
      <w:r w:rsidRPr="00B84336">
        <w:t>Monomorphic post-transplant lymphoproliferative disorders (B-cell type) when all the following criteria are met:</w:t>
      </w:r>
    </w:p>
    <w:p w14:paraId="23EE7534" w14:textId="441845CF" w:rsidR="00B84336" w:rsidRPr="00B84336" w:rsidRDefault="00B84336" w:rsidP="0096619E">
      <w:pPr>
        <w:pStyle w:val="ListParagraph"/>
        <w:widowControl w:val="0"/>
        <w:numPr>
          <w:ilvl w:val="1"/>
          <w:numId w:val="36"/>
        </w:numPr>
        <w:contextualSpacing w:val="0"/>
      </w:pPr>
      <w:r w:rsidRPr="00B84336">
        <w:t>The requested drug is used as subsequent treatment as a single agent, or in combination with bendamustine and/or rituximab, and</w:t>
      </w:r>
    </w:p>
    <w:p w14:paraId="0E130AE9" w14:textId="28750F08" w:rsidR="00B84336" w:rsidRPr="00B84336" w:rsidRDefault="00B84336" w:rsidP="0096619E">
      <w:pPr>
        <w:pStyle w:val="ListParagraph"/>
        <w:widowControl w:val="0"/>
        <w:numPr>
          <w:ilvl w:val="1"/>
          <w:numId w:val="36"/>
        </w:numPr>
        <w:contextualSpacing w:val="0"/>
      </w:pPr>
      <w:r w:rsidRPr="00B84336">
        <w:lastRenderedPageBreak/>
        <w:t>Member is not a candidate for transplant or the requested medication will be used as a bridging option until CAR T-cell product is available.</w:t>
      </w:r>
    </w:p>
    <w:p w14:paraId="0B9636E8" w14:textId="4BFF6F2C" w:rsidR="00B84336" w:rsidRPr="00B84336" w:rsidRDefault="00B84336" w:rsidP="0096619E">
      <w:pPr>
        <w:pStyle w:val="ListParagraph"/>
        <w:widowControl w:val="0"/>
        <w:numPr>
          <w:ilvl w:val="0"/>
          <w:numId w:val="32"/>
        </w:numPr>
        <w:contextualSpacing w:val="0"/>
      </w:pPr>
      <w:r w:rsidRPr="00B84336">
        <w:t>Human Immunodeficiency Virus (HIV) -related B-cell lymphomas (HIV-related diffuse large B-cell lymphoma, primary effusion lymphoma, HIV-related plasmablastic lymphoma, and human herpesvirus-8 (HHV8)-positive diffuse large B-cell lymphoma) when all of the following criteria are met:</w:t>
      </w:r>
    </w:p>
    <w:p w14:paraId="1CC526D8" w14:textId="7A39E604" w:rsidR="00B84336" w:rsidRPr="00B84336" w:rsidRDefault="00B84336" w:rsidP="0096619E">
      <w:pPr>
        <w:pStyle w:val="ListParagraph"/>
        <w:widowControl w:val="0"/>
        <w:numPr>
          <w:ilvl w:val="1"/>
          <w:numId w:val="37"/>
        </w:numPr>
        <w:contextualSpacing w:val="0"/>
      </w:pPr>
      <w:r w:rsidRPr="00B84336">
        <w:t>The requested drug is used as subsequent treatment as a single agent, or in combination with bendamustine and/or rituximab, and</w:t>
      </w:r>
    </w:p>
    <w:p w14:paraId="526FE7A9" w14:textId="03DC5B3D" w:rsidR="00B84336" w:rsidRPr="00B84336" w:rsidRDefault="00B84336" w:rsidP="0096619E">
      <w:pPr>
        <w:pStyle w:val="ListParagraph"/>
        <w:widowControl w:val="0"/>
        <w:numPr>
          <w:ilvl w:val="1"/>
          <w:numId w:val="37"/>
        </w:numPr>
        <w:contextualSpacing w:val="0"/>
      </w:pPr>
      <w:r w:rsidRPr="00B84336">
        <w:t>Member is not a candidate for transplant or the requested medication will be used as a bridging option until CAR T-cell product is available.</w:t>
      </w:r>
    </w:p>
    <w:p w14:paraId="2A172B44" w14:textId="46A701C1" w:rsidR="00B84336" w:rsidRPr="00B84336" w:rsidRDefault="00B84336" w:rsidP="0096619E">
      <w:pPr>
        <w:pStyle w:val="ListParagraph"/>
        <w:widowControl w:val="0"/>
        <w:numPr>
          <w:ilvl w:val="0"/>
          <w:numId w:val="32"/>
        </w:numPr>
        <w:contextualSpacing w:val="0"/>
      </w:pPr>
      <w:r w:rsidRPr="00B84336">
        <w:t>Histologic transformation of indolent lymphomas to diffuse large B-cell lymphoma (DLBCL) when any of the following criteria are met:</w:t>
      </w:r>
    </w:p>
    <w:p w14:paraId="55E3A69E" w14:textId="73A71D60" w:rsidR="00B84336" w:rsidRPr="00B84336" w:rsidRDefault="00B84336" w:rsidP="0096619E">
      <w:pPr>
        <w:pStyle w:val="ListParagraph"/>
        <w:widowControl w:val="0"/>
        <w:numPr>
          <w:ilvl w:val="1"/>
          <w:numId w:val="38"/>
        </w:numPr>
        <w:contextualSpacing w:val="0"/>
      </w:pPr>
      <w:r w:rsidRPr="00B84336">
        <w:t>The requested drug is used as subsequent treatment as a single agent, or in combination with bendamustine and/or rituximab, and member is not a candidate for transplant.</w:t>
      </w:r>
    </w:p>
    <w:p w14:paraId="197BF037" w14:textId="6021C12E" w:rsidR="00B84336" w:rsidRPr="00B84336" w:rsidRDefault="00B84336" w:rsidP="0096619E">
      <w:pPr>
        <w:pStyle w:val="ListParagraph"/>
        <w:widowControl w:val="0"/>
        <w:numPr>
          <w:ilvl w:val="1"/>
          <w:numId w:val="38"/>
        </w:numPr>
        <w:contextualSpacing w:val="0"/>
      </w:pPr>
      <w:r w:rsidRPr="00B84336">
        <w:t>The requested drug will be used in combination with a rituximab product, cyclophosphamide, doxorubicin, and prednisone (R-CHP) and member has an International Prognostic Index score of 2 or greater.</w:t>
      </w:r>
    </w:p>
    <w:p w14:paraId="129388BD" w14:textId="1FFDE1B5" w:rsidR="00B84336" w:rsidRPr="00B84336" w:rsidRDefault="00B84336" w:rsidP="0096619E">
      <w:pPr>
        <w:pStyle w:val="ListParagraph"/>
        <w:widowControl w:val="0"/>
        <w:numPr>
          <w:ilvl w:val="0"/>
          <w:numId w:val="32"/>
        </w:numPr>
        <w:contextualSpacing w:val="0"/>
      </w:pPr>
      <w:r w:rsidRPr="00B84336">
        <w:t>Histologic transformation of indolent lymphomas to high grade B-cell lymphoma with MYC and BCL6 and without BCL2 rearrangements when the requested drug will be used in combination with a rituximab product, cyclophosphamide, doxorubicin, and prednisone (R-CHP) and member has an International Prognostic Index score of 2 or greater.</w:t>
      </w:r>
    </w:p>
    <w:p w14:paraId="3A643EC3" w14:textId="3E749313" w:rsidR="00A501AC" w:rsidRDefault="00A501AC" w:rsidP="00A501AC">
      <w:pPr>
        <w:pStyle w:val="Heading2"/>
      </w:pPr>
      <w:r w:rsidRPr="00BD1CC1">
        <w:t>Continuation of Therapy</w:t>
      </w:r>
    </w:p>
    <w:p w14:paraId="276F3D4A" w14:textId="624A6A02" w:rsidR="00B84336" w:rsidRPr="00B84336" w:rsidRDefault="00B84336" w:rsidP="0096619E">
      <w:pPr>
        <w:pStyle w:val="BodyText"/>
      </w:pPr>
      <w:r w:rsidRPr="00B84336">
        <w:t>Authorization up to 6 months (6 cycles total) may be granted for continued treatment in members requesting reauthorization for an indication listed in the coverage criteria section when there is no evidence of unacceptable toxicity or disease progression while on the current regimen and who have not received 6 or more cycles of the requested drug.</w:t>
      </w:r>
    </w:p>
    <w:p w14:paraId="10DA4309" w14:textId="6AD8E317" w:rsidR="00FF66BF" w:rsidRDefault="00FF66BF" w:rsidP="00FF66BF">
      <w:pPr>
        <w:pStyle w:val="Heading2"/>
      </w:pPr>
      <w:r w:rsidRPr="008D1B34">
        <w:t>References</w:t>
      </w:r>
    </w:p>
    <w:p w14:paraId="47A142EA" w14:textId="5E56B08E" w:rsidR="00B84336" w:rsidRPr="00B84336" w:rsidRDefault="00B84336" w:rsidP="00B84336">
      <w:pPr>
        <w:pStyle w:val="ReferenceOrdered"/>
      </w:pPr>
      <w:r w:rsidRPr="00B84336">
        <w:t>Polivy [package insert]. South San Francisco, CA: Genentech, Inc.; April 2023.</w:t>
      </w:r>
    </w:p>
    <w:p w14:paraId="47E1A10C" w14:textId="28990961" w:rsidR="00C44990" w:rsidRPr="009A4AF6" w:rsidRDefault="00B84336" w:rsidP="003E77B1">
      <w:pPr>
        <w:pStyle w:val="ReferenceOrdered"/>
      </w:pPr>
      <w:r w:rsidRPr="00B84336">
        <w:t>The NCCN Drugs &amp; Biologics Compendium® © 2024 National Comprehensive Cancer Network, Inc. https://www.nccn.org. Accessed April 4, 2024.</w:t>
      </w:r>
    </w:p>
    <w:sectPr w:rsidR="00C44990" w:rsidRPr="009A4AF6" w:rsidSect="004620D1">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3C335" w14:textId="77777777" w:rsidR="002E0E32" w:rsidRDefault="002E0E32">
      <w:r>
        <w:separator/>
      </w:r>
    </w:p>
  </w:endnote>
  <w:endnote w:type="continuationSeparator" w:id="0">
    <w:p w14:paraId="25DD2B81" w14:textId="77777777" w:rsidR="002E0E32" w:rsidRDefault="002E0E32">
      <w:r>
        <w:continuationSeparator/>
      </w:r>
    </w:p>
  </w:endnote>
  <w:endnote w:type="continuationNotice" w:id="1">
    <w:p w14:paraId="5479EAEA" w14:textId="77777777" w:rsidR="002E0E32" w:rsidRDefault="002E0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B0906D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A4AF6" w:rsidRPr="009A4AF6">
      <w:rPr>
        <w:rFonts w:cs="Arial"/>
        <w:noProof/>
        <w:sz w:val="16"/>
        <w:szCs w:val="16"/>
      </w:rPr>
      <w:t>Polivy</w:t>
    </w:r>
    <w:r w:rsidR="009A4AF6">
      <w:rPr>
        <w:rFonts w:cs="Arial"/>
        <w:noProof/>
        <w:snapToGrid w:val="0"/>
        <w:color w:val="000000"/>
        <w:sz w:val="16"/>
        <w:szCs w:val="16"/>
      </w:rPr>
      <w:t xml:space="preserve"> SGM 3095-A</w:t>
    </w:r>
    <w:r w:rsidR="009A4AF6" w:rsidRPr="009A4AF6">
      <w:rPr>
        <w:rFonts w:cs="Arial"/>
        <w:noProof/>
        <w:sz w:val="16"/>
        <w:szCs w:val="16"/>
      </w:rPr>
      <w:t xml:space="preserve"> P2024</w:t>
    </w:r>
    <w:r w:rsidR="009A4AF6">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DD1141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8422D50" w:rsidR="00F75C81" w:rsidRPr="004620D1" w:rsidRDefault="00C36B72" w:rsidP="004620D1">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E6177F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A4AF6" w:rsidRPr="009A4AF6">
      <w:rPr>
        <w:rFonts w:cs="Arial"/>
        <w:noProof/>
        <w:sz w:val="16"/>
        <w:szCs w:val="16"/>
      </w:rPr>
      <w:t>Polivy</w:t>
    </w:r>
    <w:r w:rsidR="009A4AF6">
      <w:rPr>
        <w:rFonts w:cs="Arial"/>
        <w:noProof/>
        <w:snapToGrid w:val="0"/>
        <w:color w:val="000000"/>
        <w:sz w:val="16"/>
        <w:szCs w:val="16"/>
      </w:rPr>
      <w:t xml:space="preserve"> SGM</w:t>
    </w:r>
    <w:r w:rsidR="009A4AF6" w:rsidRPr="009A4AF6">
      <w:rPr>
        <w:rFonts w:cs="Arial"/>
        <w:noProof/>
        <w:sz w:val="16"/>
        <w:szCs w:val="16"/>
      </w:rPr>
      <w:t xml:space="preserve"> </w:t>
    </w:r>
    <w:r w:rsidR="009A4AF6">
      <w:rPr>
        <w:rFonts w:cs="Arial"/>
        <w:noProof/>
        <w:snapToGrid w:val="0"/>
        <w:color w:val="000000"/>
        <w:sz w:val="16"/>
        <w:szCs w:val="16"/>
      </w:rPr>
      <w:t xml:space="preserve">3095-A </w:t>
    </w:r>
    <w:r w:rsidR="009A4AF6" w:rsidRPr="009A4AF6">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8A2085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DD27313" w:rsidR="00ED04EC" w:rsidRPr="00F50D98" w:rsidRDefault="00F50D98" w:rsidP="003E77B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17CE5" w14:textId="77777777" w:rsidR="002E0E32" w:rsidRDefault="002E0E32">
      <w:r>
        <w:separator/>
      </w:r>
    </w:p>
  </w:footnote>
  <w:footnote w:type="continuationSeparator" w:id="0">
    <w:p w14:paraId="7A60558F" w14:textId="77777777" w:rsidR="002E0E32" w:rsidRDefault="002E0E32">
      <w:r>
        <w:continuationSeparator/>
      </w:r>
    </w:p>
  </w:footnote>
  <w:footnote w:type="continuationNotice" w:id="1">
    <w:p w14:paraId="33BC4C5D" w14:textId="77777777" w:rsidR="002E0E32" w:rsidRDefault="002E0E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96619E">
          <w:pPr>
            <w:pStyle w:val="RefTableData"/>
          </w:pPr>
          <w:r w:rsidRPr="00AA1E6A">
            <w:t>Reference number(s)</w:t>
          </w:r>
        </w:p>
      </w:tc>
    </w:tr>
    <w:tr w:rsidR="00ED04EC" w:rsidRPr="00ED04EC" w14:paraId="703C6588" w14:textId="77777777" w:rsidTr="0006569F">
      <w:trPr>
        <w:trHeight w:val="378"/>
        <w:jc w:val="right"/>
      </w:trPr>
      <w:tc>
        <w:tcPr>
          <w:tcW w:w="1854" w:type="dxa"/>
          <w:hideMark/>
        </w:tcPr>
        <w:p w14:paraId="51CE3E64" w14:textId="19AD1F4D" w:rsidR="00ED04EC" w:rsidRPr="004C7F1D" w:rsidRDefault="00246E82" w:rsidP="0096619E">
          <w:pPr>
            <w:pStyle w:val="RefTableData"/>
          </w:pPr>
          <w:r w:rsidRPr="00246E82">
            <w:t>3095-A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46E82" w:rsidRPr="00AA1E6A" w14:paraId="036EEC1B" w14:textId="77777777" w:rsidTr="00A451A8">
      <w:trPr>
        <w:trHeight w:val="144"/>
        <w:jc w:val="right"/>
      </w:trPr>
      <w:tc>
        <w:tcPr>
          <w:tcW w:w="1854" w:type="dxa"/>
          <w:hideMark/>
        </w:tcPr>
        <w:p w14:paraId="5F16A96F" w14:textId="77777777" w:rsidR="00246E82" w:rsidRPr="00AA1E6A" w:rsidRDefault="00246E82" w:rsidP="0096619E">
          <w:pPr>
            <w:pStyle w:val="RefTableData"/>
          </w:pPr>
          <w:r w:rsidRPr="00AA1E6A">
            <w:t>Reference number(s)</w:t>
          </w:r>
        </w:p>
      </w:tc>
    </w:tr>
    <w:tr w:rsidR="00246E82" w:rsidRPr="004C7F1D" w14:paraId="189DBCE4" w14:textId="77777777" w:rsidTr="00A451A8">
      <w:trPr>
        <w:trHeight w:val="378"/>
        <w:jc w:val="right"/>
      </w:trPr>
      <w:tc>
        <w:tcPr>
          <w:tcW w:w="1854" w:type="dxa"/>
          <w:hideMark/>
        </w:tcPr>
        <w:p w14:paraId="5164870C" w14:textId="77777777" w:rsidR="00246E82" w:rsidRPr="004C7F1D" w:rsidRDefault="00246E82" w:rsidP="0096619E">
          <w:pPr>
            <w:pStyle w:val="RefTableData"/>
          </w:pPr>
          <w:r w:rsidRPr="00246E82">
            <w:t>3095-A</w:t>
          </w:r>
        </w:p>
      </w:tc>
    </w:tr>
  </w:tbl>
  <w:p w14:paraId="58F8E283" w14:textId="77777777" w:rsidR="00246E82" w:rsidRPr="00246E82" w:rsidRDefault="00246E82">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3E5ABD"/>
    <w:multiLevelType w:val="hybridMultilevel"/>
    <w:tmpl w:val="E4B0B71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1844985"/>
    <w:multiLevelType w:val="hybridMultilevel"/>
    <w:tmpl w:val="5D304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475D6A"/>
    <w:multiLevelType w:val="hybridMultilevel"/>
    <w:tmpl w:val="858A654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AAE1697"/>
    <w:multiLevelType w:val="hybridMultilevel"/>
    <w:tmpl w:val="B09E3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35438A"/>
    <w:multiLevelType w:val="hybridMultilevel"/>
    <w:tmpl w:val="2480BD0A"/>
    <w:lvl w:ilvl="0" w:tplc="2BB2A1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135C40"/>
    <w:multiLevelType w:val="hybridMultilevel"/>
    <w:tmpl w:val="BA4465B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2E075F6"/>
    <w:multiLevelType w:val="hybridMultilevel"/>
    <w:tmpl w:val="B4F6EB3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560DF4"/>
    <w:multiLevelType w:val="hybridMultilevel"/>
    <w:tmpl w:val="D9064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723628"/>
    <w:multiLevelType w:val="hybridMultilevel"/>
    <w:tmpl w:val="1A769F0E"/>
    <w:lvl w:ilvl="0" w:tplc="EDB6220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153D78"/>
    <w:multiLevelType w:val="hybridMultilevel"/>
    <w:tmpl w:val="466E7AE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FA48B8"/>
    <w:multiLevelType w:val="hybridMultilevel"/>
    <w:tmpl w:val="34805AC2"/>
    <w:lvl w:ilvl="0" w:tplc="591E45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293D0E"/>
    <w:multiLevelType w:val="hybridMultilevel"/>
    <w:tmpl w:val="E3D05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1D743E"/>
    <w:multiLevelType w:val="hybridMultilevel"/>
    <w:tmpl w:val="8500B306"/>
    <w:lvl w:ilvl="0" w:tplc="4C548A94">
      <w:start w:val="1"/>
      <w:numFmt w:val="upperLetter"/>
      <w:lvlText w:val="%1."/>
      <w:lvlJc w:val="left"/>
      <w:pPr>
        <w:ind w:left="1080" w:hanging="720"/>
      </w:pPr>
      <w:rPr>
        <w:rFonts w:hint="default"/>
      </w:rPr>
    </w:lvl>
    <w:lvl w:ilvl="1" w:tplc="A532104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5"/>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3"/>
  </w:num>
  <w:num w:numId="17" w16cid:durableId="2128498676">
    <w:abstractNumId w:val="38"/>
  </w:num>
  <w:num w:numId="18" w16cid:durableId="299724409">
    <w:abstractNumId w:val="32"/>
  </w:num>
  <w:num w:numId="19" w16cid:durableId="214585573">
    <w:abstractNumId w:val="16"/>
  </w:num>
  <w:num w:numId="20" w16cid:durableId="1289816170">
    <w:abstractNumId w:val="17"/>
  </w:num>
  <w:num w:numId="21" w16cid:durableId="1066490929">
    <w:abstractNumId w:val="39"/>
  </w:num>
  <w:num w:numId="22" w16cid:durableId="1472481103">
    <w:abstractNumId w:val="34"/>
  </w:num>
  <w:num w:numId="23" w16cid:durableId="1997420403">
    <w:abstractNumId w:val="36"/>
  </w:num>
  <w:num w:numId="24" w16cid:durableId="33312838">
    <w:abstractNumId w:val="33"/>
  </w:num>
  <w:num w:numId="25" w16cid:durableId="507404939">
    <w:abstractNumId w:val="22"/>
  </w:num>
  <w:num w:numId="26" w16cid:durableId="1950313333">
    <w:abstractNumId w:val="28"/>
  </w:num>
  <w:num w:numId="27" w16cid:durableId="1866016584">
    <w:abstractNumId w:val="24"/>
  </w:num>
  <w:num w:numId="28" w16cid:durableId="1616280671">
    <w:abstractNumId w:val="18"/>
  </w:num>
  <w:num w:numId="29" w16cid:durableId="831264102">
    <w:abstractNumId w:val="19"/>
  </w:num>
  <w:num w:numId="30" w16cid:durableId="514154965">
    <w:abstractNumId w:val="11"/>
  </w:num>
  <w:num w:numId="31" w16cid:durableId="1304769646">
    <w:abstractNumId w:val="30"/>
  </w:num>
  <w:num w:numId="32" w16cid:durableId="1615403334">
    <w:abstractNumId w:val="25"/>
  </w:num>
  <w:num w:numId="33" w16cid:durableId="2091732320">
    <w:abstractNumId w:val="37"/>
  </w:num>
  <w:num w:numId="34" w16cid:durableId="1896047317">
    <w:abstractNumId w:val="13"/>
  </w:num>
  <w:num w:numId="35" w16cid:durableId="568881822">
    <w:abstractNumId w:val="21"/>
  </w:num>
  <w:num w:numId="36" w16cid:durableId="1148396471">
    <w:abstractNumId w:val="20"/>
  </w:num>
  <w:num w:numId="37" w16cid:durableId="1380400492">
    <w:abstractNumId w:val="27"/>
  </w:num>
  <w:num w:numId="38" w16cid:durableId="1150948779">
    <w:abstractNumId w:val="10"/>
  </w:num>
  <w:num w:numId="39" w16cid:durableId="1933471139">
    <w:abstractNumId w:val="31"/>
  </w:num>
  <w:num w:numId="40" w16cid:durableId="1266305425">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6E82"/>
    <w:rsid w:val="002504F9"/>
    <w:rsid w:val="00250C39"/>
    <w:rsid w:val="00250E25"/>
    <w:rsid w:val="00251EE2"/>
    <w:rsid w:val="00252CE1"/>
    <w:rsid w:val="0025338B"/>
    <w:rsid w:val="0025395A"/>
    <w:rsid w:val="00254313"/>
    <w:rsid w:val="00254CF2"/>
    <w:rsid w:val="0025520A"/>
    <w:rsid w:val="002556AB"/>
    <w:rsid w:val="00255903"/>
    <w:rsid w:val="002568ED"/>
    <w:rsid w:val="002571F4"/>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30C"/>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0E32"/>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0F7F"/>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7B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0D1"/>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878"/>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A78D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1601"/>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19E"/>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4AF6"/>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126A"/>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B6"/>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336"/>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6AF8"/>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2D85"/>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2BD"/>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102fadf2-6cae-45bc-95f6-bc2613b98572"/>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10AB9CBC-92EC-4479-80DC-423654641B93}"/>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4938</Characters>
  <Application>Microsoft Office Word</Application>
  <DocSecurity>0</DocSecurity>
  <Lines>105</Lines>
  <Paragraphs>75</Paragraphs>
  <ScaleCrop>false</ScaleCrop>
  <HeadingPairs>
    <vt:vector size="2" baseType="variant">
      <vt:variant>
        <vt:lpstr>Title</vt:lpstr>
      </vt:variant>
      <vt:variant>
        <vt:i4>1</vt:i4>
      </vt:variant>
    </vt:vector>
  </HeadingPairs>
  <TitlesOfParts>
    <vt:vector size="1" baseType="lpstr">
      <vt:lpstr>Polivy 3095-A SGM 2024</vt:lpstr>
    </vt:vector>
  </TitlesOfParts>
  <Company>PCS Health Systems</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Polivy 3095-A SGM 2024</dc:title>
  <dc:subject/>
  <dc:creator>CVS Caremark</dc:creator>
  <cp:keywords/>
  <cp:lastModifiedBy>Clark, Shannon I</cp:lastModifiedBy>
  <cp:revision>3</cp:revision>
  <cp:lastPrinted>2018-01-09T05:01:00Z</cp:lastPrinted>
  <dcterms:created xsi:type="dcterms:W3CDTF">2024-12-31T02:49:00Z</dcterms:created>
  <dcterms:modified xsi:type="dcterms:W3CDTF">2024-12-31T02:49:00Z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1096200</vt:r8>
  </property>
</Properties>
</file>